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205" w:rsidRPr="00F161EC" w:rsidRDefault="00A810E7" w:rsidP="00702518">
      <w:pPr>
        <w:pStyle w:val="Titre1"/>
        <w:rPr>
          <w:rFonts w:ascii="Abel" w:hAnsi="Abel"/>
          <w:color w:val="0092A4"/>
        </w:rPr>
      </w:pPr>
      <w:r w:rsidRPr="00F161EC">
        <w:rPr>
          <w:rFonts w:ascii="Abel" w:hAnsi="Abel"/>
          <w:color w:val="0092A4"/>
        </w:rPr>
        <w:t>Les critères de sélection des participants aux sessions EDEN</w:t>
      </w:r>
    </w:p>
    <w:p w:rsidR="00A810E7" w:rsidRPr="004D4AC6" w:rsidRDefault="00887205" w:rsidP="00A810E7">
      <w:pPr>
        <w:spacing w:before="100" w:beforeAutospacing="1" w:after="100" w:afterAutospacing="1"/>
        <w:rPr>
          <w:rFonts w:ascii="Abel" w:hAnsi="Abel"/>
        </w:rPr>
      </w:pPr>
      <w:r w:rsidRPr="004D4AC6">
        <w:rPr>
          <w:rFonts w:ascii="Abel" w:hAnsi="Abel"/>
          <w:bCs/>
          <w:color w:val="auto"/>
          <w:sz w:val="24"/>
          <w:szCs w:val="24"/>
        </w:rPr>
        <w:t>E</w:t>
      </w:r>
      <w:r w:rsidR="00A810E7" w:rsidRPr="004D4AC6">
        <w:rPr>
          <w:rFonts w:ascii="Abel" w:hAnsi="Abel"/>
          <w:color w:val="auto"/>
          <w:sz w:val="24"/>
          <w:szCs w:val="24"/>
        </w:rPr>
        <w:t>tant donné la forte demande pour cette formation qui ne peut accueillir que 12 doctorants et son/ses encadrants par session, les candidats sont sélectionnés en 3 étapes :</w:t>
      </w:r>
    </w:p>
    <w:p w:rsidR="00A810E7" w:rsidRPr="004D4AC6" w:rsidRDefault="00A810E7" w:rsidP="00A810E7">
      <w:pPr>
        <w:rPr>
          <w:rFonts w:ascii="Abel" w:hAnsi="Abel"/>
        </w:rPr>
      </w:pPr>
      <w:r w:rsidRPr="004D4AC6">
        <w:rPr>
          <w:rFonts w:ascii="Abel" w:hAnsi="Abel"/>
          <w:sz w:val="24"/>
          <w:szCs w:val="24"/>
          <w:u w:val="single"/>
        </w:rPr>
        <w:t xml:space="preserve">1) Vérification de </w:t>
      </w:r>
      <w:r w:rsidRPr="004D4AC6">
        <w:rPr>
          <w:rFonts w:ascii="Abel" w:hAnsi="Abel"/>
          <w:color w:val="auto"/>
          <w:sz w:val="24"/>
          <w:szCs w:val="24"/>
          <w:u w:val="single"/>
        </w:rPr>
        <w:t>l'éligibilité et première priorisation</w:t>
      </w:r>
      <w:r w:rsidRPr="004D4AC6">
        <w:rPr>
          <w:rFonts w:ascii="Abel" w:hAnsi="Abel"/>
          <w:color w:val="auto"/>
          <w:sz w:val="24"/>
          <w:szCs w:val="24"/>
        </w:rPr>
        <w:t xml:space="preserve"> </w:t>
      </w:r>
      <w:r w:rsidRPr="004D4AC6">
        <w:rPr>
          <w:rFonts w:ascii="Abel" w:hAnsi="Abel"/>
          <w:sz w:val="24"/>
          <w:szCs w:val="24"/>
          <w:u w:val="single"/>
        </w:rPr>
        <w:t>des binômes/trinômes/</w:t>
      </w:r>
      <w:proofErr w:type="spellStart"/>
      <w:r w:rsidRPr="004D4AC6">
        <w:rPr>
          <w:rFonts w:ascii="Abel" w:hAnsi="Abel"/>
          <w:sz w:val="24"/>
          <w:szCs w:val="24"/>
          <w:u w:val="single"/>
        </w:rPr>
        <w:t>quadrinômes</w:t>
      </w:r>
      <w:proofErr w:type="spellEnd"/>
      <w:r w:rsidRPr="004D4AC6">
        <w:rPr>
          <w:rFonts w:ascii="Abel" w:hAnsi="Abel"/>
          <w:sz w:val="24"/>
          <w:szCs w:val="24"/>
          <w:u w:val="single"/>
        </w:rPr>
        <w:t xml:space="preserve"> par le groupe </w:t>
      </w:r>
      <w:r w:rsidRPr="004D4AC6">
        <w:rPr>
          <w:rFonts w:ascii="Abel" w:hAnsi="Abel"/>
          <w:color w:val="auto"/>
          <w:sz w:val="24"/>
          <w:szCs w:val="24"/>
          <w:u w:val="single"/>
        </w:rPr>
        <w:t>organisateur </w:t>
      </w:r>
      <w:r w:rsidRPr="004D4AC6">
        <w:rPr>
          <w:rFonts w:ascii="Abel" w:hAnsi="Abel"/>
          <w:color w:val="auto"/>
          <w:sz w:val="24"/>
          <w:szCs w:val="24"/>
        </w:rPr>
        <w:t xml:space="preserve">: </w:t>
      </w:r>
      <w:r w:rsidRPr="004D4AC6">
        <w:rPr>
          <w:rFonts w:ascii="Abel" w:hAnsi="Abel"/>
          <w:sz w:val="24"/>
          <w:szCs w:val="24"/>
        </w:rPr>
        <w:t>Les critères sont les suivants:</w:t>
      </w:r>
    </w:p>
    <w:p w:rsidR="00A810E7" w:rsidRPr="004D4AC6" w:rsidRDefault="00A810E7" w:rsidP="00A810E7">
      <w:pPr>
        <w:numPr>
          <w:ilvl w:val="0"/>
          <w:numId w:val="1"/>
        </w:numPr>
        <w:rPr>
          <w:rFonts w:ascii="Abel" w:eastAsia="Times New Roman" w:hAnsi="Abel"/>
        </w:rPr>
      </w:pPr>
      <w:proofErr w:type="gramStart"/>
      <w:r w:rsidRPr="004D4AC6">
        <w:rPr>
          <w:rFonts w:ascii="Abel" w:eastAsia="Times New Roman" w:hAnsi="Abel"/>
          <w:sz w:val="24"/>
          <w:szCs w:val="24"/>
        </w:rPr>
        <w:t>pour</w:t>
      </w:r>
      <w:proofErr w:type="gramEnd"/>
      <w:r w:rsidRPr="004D4AC6">
        <w:rPr>
          <w:rFonts w:ascii="Abel" w:eastAsia="Times New Roman" w:hAnsi="Abel"/>
          <w:sz w:val="24"/>
          <w:szCs w:val="24"/>
        </w:rPr>
        <w:t xml:space="preserve"> le doctorant : thèse débutée depuis 9 à 15 mois au moment de la formation</w:t>
      </w:r>
    </w:p>
    <w:p w:rsidR="00A810E7" w:rsidRPr="004D4AC6" w:rsidRDefault="00A810E7" w:rsidP="00A810E7">
      <w:pPr>
        <w:numPr>
          <w:ilvl w:val="0"/>
          <w:numId w:val="1"/>
        </w:numPr>
        <w:rPr>
          <w:rFonts w:ascii="Abel" w:eastAsia="Times New Roman" w:hAnsi="Abel"/>
        </w:rPr>
      </w:pPr>
      <w:r w:rsidRPr="004D4AC6">
        <w:rPr>
          <w:rFonts w:ascii="Abel" w:eastAsia="Times New Roman" w:hAnsi="Abel"/>
          <w:sz w:val="24"/>
          <w:szCs w:val="24"/>
        </w:rPr>
        <w:t>pour l'encadrant</w:t>
      </w:r>
      <w:r w:rsidR="0046166F">
        <w:rPr>
          <w:rFonts w:ascii="Abel" w:eastAsia="Times New Roman" w:hAnsi="Abel"/>
          <w:sz w:val="24"/>
          <w:szCs w:val="24"/>
        </w:rPr>
        <w:t xml:space="preserve"> (voir définition ci-dessous</w:t>
      </w:r>
      <w:r w:rsidR="0046166F">
        <w:rPr>
          <w:rStyle w:val="Appelnotedebasdep"/>
          <w:rFonts w:ascii="Abel" w:eastAsia="Times New Roman" w:hAnsi="Abel"/>
          <w:sz w:val="24"/>
          <w:szCs w:val="24"/>
        </w:rPr>
        <w:footnoteReference w:id="1"/>
      </w:r>
      <w:r w:rsidR="0046166F">
        <w:rPr>
          <w:rFonts w:ascii="Abel" w:eastAsia="Times New Roman" w:hAnsi="Abel"/>
          <w:sz w:val="24"/>
          <w:szCs w:val="24"/>
        </w:rPr>
        <w:t>)</w:t>
      </w:r>
      <w:r w:rsidRPr="004D4AC6">
        <w:rPr>
          <w:rFonts w:ascii="Abel" w:eastAsia="Times New Roman" w:hAnsi="Abel"/>
          <w:sz w:val="24"/>
          <w:szCs w:val="24"/>
        </w:rPr>
        <w:t xml:space="preserve"> : priorité donnée aux primo-encadrants</w:t>
      </w:r>
    </w:p>
    <w:p w:rsidR="00A810E7" w:rsidRPr="004D4AC6" w:rsidRDefault="00A810E7" w:rsidP="00A810E7">
      <w:pPr>
        <w:numPr>
          <w:ilvl w:val="0"/>
          <w:numId w:val="1"/>
        </w:numPr>
        <w:spacing w:before="100" w:beforeAutospacing="1" w:after="100" w:afterAutospacing="1"/>
        <w:rPr>
          <w:rFonts w:ascii="Abel" w:eastAsia="Times New Roman" w:hAnsi="Abel"/>
        </w:rPr>
      </w:pPr>
      <w:proofErr w:type="gramStart"/>
      <w:r w:rsidRPr="004D4AC6">
        <w:rPr>
          <w:rFonts w:ascii="Abel" w:eastAsia="Times New Roman" w:hAnsi="Abel"/>
          <w:sz w:val="24"/>
          <w:szCs w:val="24"/>
        </w:rPr>
        <w:t>en</w:t>
      </w:r>
      <w:proofErr w:type="gramEnd"/>
      <w:r w:rsidRPr="004D4AC6">
        <w:rPr>
          <w:rFonts w:ascii="Abel" w:eastAsia="Times New Roman" w:hAnsi="Abel"/>
          <w:sz w:val="24"/>
          <w:szCs w:val="24"/>
        </w:rPr>
        <w:t xml:space="preserve"> cas de mono-encadrement : si l'encadrant a déjà été formé à EDEN, le binôme n'est pas pris en considération.</w:t>
      </w:r>
    </w:p>
    <w:p w:rsidR="00A810E7" w:rsidRPr="004D4AC6" w:rsidRDefault="00A810E7" w:rsidP="00A810E7">
      <w:pPr>
        <w:numPr>
          <w:ilvl w:val="0"/>
          <w:numId w:val="1"/>
        </w:numPr>
        <w:spacing w:before="100" w:beforeAutospacing="1" w:after="100" w:afterAutospacing="1"/>
        <w:rPr>
          <w:rFonts w:ascii="Abel" w:eastAsia="Times New Roman" w:hAnsi="Abel"/>
        </w:rPr>
      </w:pPr>
      <w:proofErr w:type="gramStart"/>
      <w:r w:rsidRPr="004D4AC6">
        <w:rPr>
          <w:rFonts w:ascii="Abel" w:eastAsia="Times New Roman" w:hAnsi="Abel"/>
          <w:sz w:val="24"/>
          <w:szCs w:val="24"/>
        </w:rPr>
        <w:t>en</w:t>
      </w:r>
      <w:proofErr w:type="gramEnd"/>
      <w:r w:rsidRPr="004D4AC6">
        <w:rPr>
          <w:rFonts w:ascii="Abel" w:eastAsia="Times New Roman" w:hAnsi="Abel"/>
          <w:sz w:val="24"/>
          <w:szCs w:val="24"/>
        </w:rPr>
        <w:t xml:space="preserve"> cas de </w:t>
      </w:r>
      <w:proofErr w:type="spellStart"/>
      <w:r w:rsidRPr="004D4AC6">
        <w:rPr>
          <w:rFonts w:ascii="Abel" w:eastAsia="Times New Roman" w:hAnsi="Abel"/>
          <w:sz w:val="24"/>
          <w:szCs w:val="24"/>
        </w:rPr>
        <w:t>co</w:t>
      </w:r>
      <w:proofErr w:type="spellEnd"/>
      <w:r w:rsidRPr="004D4AC6">
        <w:rPr>
          <w:rFonts w:ascii="Abel" w:eastAsia="Times New Roman" w:hAnsi="Abel"/>
          <w:sz w:val="24"/>
          <w:szCs w:val="24"/>
        </w:rPr>
        <w:t>-encadrement :</w:t>
      </w:r>
      <w:r w:rsidRPr="004D4AC6">
        <w:rPr>
          <w:rFonts w:ascii="Abel" w:eastAsia="Times New Roman" w:hAnsi="Abel"/>
        </w:rPr>
        <w:t xml:space="preserve"> </w:t>
      </w:r>
    </w:p>
    <w:p w:rsidR="00A810E7" w:rsidRPr="004D4AC6" w:rsidRDefault="00A810E7" w:rsidP="00A810E7">
      <w:pPr>
        <w:numPr>
          <w:ilvl w:val="1"/>
          <w:numId w:val="1"/>
        </w:numPr>
        <w:spacing w:before="100" w:beforeAutospacing="1" w:after="100" w:afterAutospacing="1"/>
        <w:rPr>
          <w:rFonts w:ascii="Abel" w:eastAsia="Times New Roman" w:hAnsi="Abel"/>
        </w:rPr>
      </w:pPr>
      <w:proofErr w:type="gramStart"/>
      <w:r w:rsidRPr="004D4AC6">
        <w:rPr>
          <w:rFonts w:ascii="Abel" w:eastAsia="Times New Roman" w:hAnsi="Abel"/>
          <w:sz w:val="24"/>
          <w:szCs w:val="24"/>
        </w:rPr>
        <w:t>priorité</w:t>
      </w:r>
      <w:proofErr w:type="gramEnd"/>
      <w:r w:rsidRPr="004D4AC6">
        <w:rPr>
          <w:rFonts w:ascii="Abel" w:eastAsia="Times New Roman" w:hAnsi="Abel"/>
          <w:sz w:val="24"/>
          <w:szCs w:val="24"/>
        </w:rPr>
        <w:t xml:space="preserve"> donnée quand tous les encadrants sont inscrits</w:t>
      </w:r>
    </w:p>
    <w:p w:rsidR="00A810E7" w:rsidRPr="004D4AC6" w:rsidRDefault="00A810E7" w:rsidP="00A810E7">
      <w:pPr>
        <w:numPr>
          <w:ilvl w:val="1"/>
          <w:numId w:val="1"/>
        </w:numPr>
        <w:spacing w:before="100" w:beforeAutospacing="1" w:after="100" w:afterAutospacing="1"/>
        <w:rPr>
          <w:rFonts w:ascii="Abel" w:eastAsia="Times New Roman" w:hAnsi="Abel"/>
        </w:rPr>
      </w:pPr>
      <w:proofErr w:type="gramStart"/>
      <w:r w:rsidRPr="004D4AC6">
        <w:rPr>
          <w:rFonts w:ascii="Abel" w:eastAsia="Times New Roman" w:hAnsi="Abel"/>
          <w:sz w:val="24"/>
          <w:szCs w:val="24"/>
        </w:rPr>
        <w:t>ordre</w:t>
      </w:r>
      <w:proofErr w:type="gramEnd"/>
      <w:r w:rsidRPr="004D4AC6">
        <w:rPr>
          <w:rFonts w:ascii="Abel" w:eastAsia="Times New Roman" w:hAnsi="Abel"/>
          <w:sz w:val="24"/>
          <w:szCs w:val="24"/>
        </w:rPr>
        <w:t xml:space="preserve"> de priorité d</w:t>
      </w:r>
      <w:bookmarkStart w:id="0" w:name="_GoBack"/>
      <w:bookmarkEnd w:id="0"/>
      <w:r w:rsidRPr="004D4AC6">
        <w:rPr>
          <w:rFonts w:ascii="Abel" w:eastAsia="Times New Roman" w:hAnsi="Abel"/>
          <w:sz w:val="24"/>
          <w:szCs w:val="24"/>
        </w:rPr>
        <w:t xml:space="preserve">écroissant : tous les encadrants sont primo-encadrants &gt; 1 primo-encadrant parmi les encadrants &gt; aucun primo-encadrant parmi les encadrants &gt; un encadrant déjà formé à EDEN parmi les </w:t>
      </w:r>
      <w:proofErr w:type="spellStart"/>
      <w:r w:rsidRPr="004D4AC6">
        <w:rPr>
          <w:rFonts w:ascii="Abel" w:eastAsia="Times New Roman" w:hAnsi="Abel"/>
          <w:sz w:val="24"/>
          <w:szCs w:val="24"/>
        </w:rPr>
        <w:t>co</w:t>
      </w:r>
      <w:proofErr w:type="spellEnd"/>
      <w:r w:rsidRPr="004D4AC6">
        <w:rPr>
          <w:rFonts w:ascii="Abel" w:eastAsia="Times New Roman" w:hAnsi="Abel"/>
          <w:sz w:val="24"/>
          <w:szCs w:val="24"/>
        </w:rPr>
        <w:t>-encadrants</w:t>
      </w:r>
    </w:p>
    <w:p w:rsidR="004D4AC6" w:rsidRPr="004D4AC6" w:rsidRDefault="004D4AC6" w:rsidP="004D4AC6">
      <w:pPr>
        <w:pStyle w:val="Paragraphedeliste"/>
        <w:numPr>
          <w:ilvl w:val="0"/>
          <w:numId w:val="1"/>
        </w:numPr>
        <w:spacing w:after="200" w:line="276" w:lineRule="auto"/>
        <w:rPr>
          <w:rFonts w:ascii="Abel" w:hAnsi="Abel" w:cstheme="minorBidi"/>
          <w:color w:val="auto"/>
          <w:sz w:val="24"/>
          <w:szCs w:val="24"/>
        </w:rPr>
      </w:pPr>
      <w:proofErr w:type="gramStart"/>
      <w:r w:rsidRPr="004D4AC6">
        <w:rPr>
          <w:rFonts w:ascii="Abel" w:hAnsi="Abel"/>
          <w:sz w:val="24"/>
          <w:szCs w:val="24"/>
        </w:rPr>
        <w:t>présence</w:t>
      </w:r>
      <w:proofErr w:type="gramEnd"/>
      <w:r w:rsidRPr="004D4AC6">
        <w:rPr>
          <w:rFonts w:ascii="Abel" w:hAnsi="Abel"/>
          <w:sz w:val="24"/>
          <w:szCs w:val="24"/>
        </w:rPr>
        <w:t xml:space="preserve"> du doctorant et de son (ses) encadrant(s) pendant toute la durée de l’école</w:t>
      </w:r>
    </w:p>
    <w:p w:rsidR="00A810E7" w:rsidRPr="004D4AC6" w:rsidRDefault="00A810E7" w:rsidP="00A810E7">
      <w:pPr>
        <w:rPr>
          <w:rFonts w:ascii="Abel" w:hAnsi="Abel"/>
        </w:rPr>
      </w:pPr>
      <w:r w:rsidRPr="004D4AC6">
        <w:rPr>
          <w:rFonts w:ascii="Abel" w:hAnsi="Abel"/>
          <w:sz w:val="24"/>
          <w:szCs w:val="24"/>
          <w:u w:val="single"/>
        </w:rPr>
        <w:t>2) Soumission des candidatures retenues à la phase 1 aux départements d'appartenance des doctorants</w:t>
      </w:r>
      <w:r w:rsidRPr="004D4AC6">
        <w:rPr>
          <w:rFonts w:ascii="Abel" w:hAnsi="Abel"/>
          <w:sz w:val="24"/>
          <w:szCs w:val="24"/>
        </w:rPr>
        <w:t xml:space="preserve"> : les départements sont commanditaires et </w:t>
      </w:r>
      <w:proofErr w:type="spellStart"/>
      <w:r w:rsidRPr="004D4AC6">
        <w:rPr>
          <w:rFonts w:ascii="Abel" w:hAnsi="Abel"/>
          <w:sz w:val="24"/>
          <w:szCs w:val="24"/>
        </w:rPr>
        <w:t>co</w:t>
      </w:r>
      <w:proofErr w:type="spellEnd"/>
      <w:r w:rsidRPr="004D4AC6">
        <w:rPr>
          <w:rFonts w:ascii="Abel" w:hAnsi="Abel"/>
          <w:sz w:val="24"/>
          <w:szCs w:val="24"/>
        </w:rPr>
        <w:t>-financeurs de la formation. Ils examinent les candidatures et donnent au groupe organisateurs :</w:t>
      </w:r>
    </w:p>
    <w:p w:rsidR="00A810E7" w:rsidRPr="004D4AC6" w:rsidRDefault="00A810E7" w:rsidP="00A810E7">
      <w:pPr>
        <w:numPr>
          <w:ilvl w:val="0"/>
          <w:numId w:val="2"/>
        </w:numPr>
        <w:ind w:left="714" w:hanging="357"/>
        <w:rPr>
          <w:rFonts w:ascii="Abel" w:eastAsia="Times New Roman" w:hAnsi="Abel"/>
        </w:rPr>
      </w:pPr>
      <w:proofErr w:type="gramStart"/>
      <w:r w:rsidRPr="004D4AC6">
        <w:rPr>
          <w:rFonts w:ascii="Abel" w:eastAsia="Times New Roman" w:hAnsi="Abel"/>
          <w:sz w:val="24"/>
          <w:szCs w:val="24"/>
        </w:rPr>
        <w:t>leur</w:t>
      </w:r>
      <w:proofErr w:type="gramEnd"/>
      <w:r w:rsidRPr="004D4AC6">
        <w:rPr>
          <w:rFonts w:ascii="Abel" w:eastAsia="Times New Roman" w:hAnsi="Abel"/>
          <w:sz w:val="24"/>
          <w:szCs w:val="24"/>
        </w:rPr>
        <w:t xml:space="preserve"> accord ou désaccord pour le financement de chaque binôme/trinôme/</w:t>
      </w:r>
      <w:proofErr w:type="spellStart"/>
      <w:r w:rsidRPr="004D4AC6">
        <w:rPr>
          <w:rFonts w:ascii="Abel" w:eastAsia="Times New Roman" w:hAnsi="Abel"/>
          <w:sz w:val="24"/>
          <w:szCs w:val="24"/>
        </w:rPr>
        <w:t>quadrinôme</w:t>
      </w:r>
      <w:proofErr w:type="spellEnd"/>
    </w:p>
    <w:p w:rsidR="00A810E7" w:rsidRPr="004D4AC6" w:rsidRDefault="00A810E7" w:rsidP="00A810E7">
      <w:pPr>
        <w:numPr>
          <w:ilvl w:val="0"/>
          <w:numId w:val="2"/>
        </w:numPr>
        <w:spacing w:before="100" w:beforeAutospacing="1" w:after="100" w:afterAutospacing="1"/>
        <w:rPr>
          <w:rFonts w:ascii="Abel" w:eastAsia="Times New Roman" w:hAnsi="Abel"/>
        </w:rPr>
      </w:pPr>
      <w:proofErr w:type="gramStart"/>
      <w:r w:rsidRPr="004D4AC6">
        <w:rPr>
          <w:rFonts w:ascii="Abel" w:eastAsia="Times New Roman" w:hAnsi="Abel"/>
          <w:sz w:val="24"/>
          <w:szCs w:val="24"/>
        </w:rPr>
        <w:t>leur</w:t>
      </w:r>
      <w:proofErr w:type="gramEnd"/>
      <w:r w:rsidRPr="004D4AC6">
        <w:rPr>
          <w:rFonts w:ascii="Abel" w:eastAsia="Times New Roman" w:hAnsi="Abel"/>
          <w:sz w:val="24"/>
          <w:szCs w:val="24"/>
        </w:rPr>
        <w:t xml:space="preserve"> ordre de préférence en cas de candidatures de plusieurs doctorants du même département.</w:t>
      </w:r>
    </w:p>
    <w:p w:rsidR="00A810E7" w:rsidRPr="004D4AC6" w:rsidRDefault="00A810E7" w:rsidP="00A810E7">
      <w:pPr>
        <w:rPr>
          <w:rFonts w:ascii="Abel" w:hAnsi="Abel"/>
        </w:rPr>
      </w:pPr>
      <w:r w:rsidRPr="004D4AC6">
        <w:rPr>
          <w:rFonts w:ascii="Abel" w:hAnsi="Abel"/>
          <w:sz w:val="24"/>
          <w:szCs w:val="24"/>
          <w:u w:val="single"/>
        </w:rPr>
        <w:t>3) Sélection finale par le groupe organisateur</w:t>
      </w:r>
      <w:r w:rsidRPr="004D4AC6">
        <w:rPr>
          <w:rFonts w:ascii="Abel" w:hAnsi="Abel"/>
          <w:sz w:val="24"/>
          <w:szCs w:val="24"/>
        </w:rPr>
        <w:t xml:space="preserve"> en fonction :</w:t>
      </w:r>
    </w:p>
    <w:p w:rsidR="00A810E7" w:rsidRPr="004D4AC6" w:rsidRDefault="00A810E7" w:rsidP="00A810E7">
      <w:pPr>
        <w:numPr>
          <w:ilvl w:val="0"/>
          <w:numId w:val="3"/>
        </w:numPr>
        <w:rPr>
          <w:rFonts w:ascii="Abel" w:eastAsia="Times New Roman" w:hAnsi="Abel"/>
        </w:rPr>
      </w:pPr>
      <w:proofErr w:type="gramStart"/>
      <w:r w:rsidRPr="004D4AC6">
        <w:rPr>
          <w:rFonts w:ascii="Abel" w:eastAsia="Times New Roman" w:hAnsi="Abel"/>
          <w:sz w:val="24"/>
          <w:szCs w:val="24"/>
        </w:rPr>
        <w:t>du</w:t>
      </w:r>
      <w:proofErr w:type="gramEnd"/>
      <w:r w:rsidRPr="004D4AC6">
        <w:rPr>
          <w:rFonts w:ascii="Abel" w:eastAsia="Times New Roman" w:hAnsi="Abel"/>
          <w:sz w:val="24"/>
          <w:szCs w:val="24"/>
        </w:rPr>
        <w:t xml:space="preserve"> retour des départements : </w:t>
      </w:r>
    </w:p>
    <w:p w:rsidR="00A810E7" w:rsidRPr="004D4AC6" w:rsidRDefault="00A810E7" w:rsidP="00A810E7">
      <w:pPr>
        <w:numPr>
          <w:ilvl w:val="1"/>
          <w:numId w:val="3"/>
        </w:numPr>
        <w:spacing w:before="100" w:beforeAutospacing="1" w:after="100" w:afterAutospacing="1"/>
        <w:rPr>
          <w:rFonts w:ascii="Abel" w:eastAsia="Times New Roman" w:hAnsi="Abel"/>
        </w:rPr>
      </w:pPr>
      <w:proofErr w:type="gramStart"/>
      <w:r w:rsidRPr="004D4AC6">
        <w:rPr>
          <w:rFonts w:ascii="Abel" w:eastAsia="Times New Roman" w:hAnsi="Abel"/>
          <w:sz w:val="24"/>
          <w:szCs w:val="24"/>
        </w:rPr>
        <w:t>si</w:t>
      </w:r>
      <w:proofErr w:type="gramEnd"/>
      <w:r w:rsidRPr="004D4AC6">
        <w:rPr>
          <w:rFonts w:ascii="Abel" w:eastAsia="Times New Roman" w:hAnsi="Abel"/>
          <w:sz w:val="24"/>
          <w:szCs w:val="24"/>
        </w:rPr>
        <w:t xml:space="preserve"> un département refuse de financer un binôme/trinôme/</w:t>
      </w:r>
      <w:proofErr w:type="spellStart"/>
      <w:r w:rsidRPr="004D4AC6">
        <w:rPr>
          <w:rFonts w:ascii="Abel" w:eastAsia="Times New Roman" w:hAnsi="Abel"/>
          <w:sz w:val="24"/>
          <w:szCs w:val="24"/>
        </w:rPr>
        <w:t>quadrinôme</w:t>
      </w:r>
      <w:proofErr w:type="spellEnd"/>
      <w:r w:rsidRPr="004D4AC6">
        <w:rPr>
          <w:rFonts w:ascii="Abel" w:eastAsia="Times New Roman" w:hAnsi="Abel"/>
          <w:sz w:val="24"/>
          <w:szCs w:val="24"/>
        </w:rPr>
        <w:t>, celui-ci est automatiquement éliminé.</w:t>
      </w:r>
    </w:p>
    <w:p w:rsidR="00A810E7" w:rsidRPr="004D4AC6" w:rsidRDefault="00A810E7" w:rsidP="00A810E7">
      <w:pPr>
        <w:numPr>
          <w:ilvl w:val="1"/>
          <w:numId w:val="3"/>
        </w:numPr>
        <w:spacing w:before="100" w:beforeAutospacing="1" w:after="100" w:afterAutospacing="1"/>
        <w:rPr>
          <w:rFonts w:ascii="Abel" w:eastAsia="Times New Roman" w:hAnsi="Abel"/>
        </w:rPr>
      </w:pPr>
      <w:proofErr w:type="gramStart"/>
      <w:r w:rsidRPr="004D4AC6">
        <w:rPr>
          <w:rFonts w:ascii="Abel" w:eastAsia="Times New Roman" w:hAnsi="Abel"/>
          <w:sz w:val="24"/>
          <w:szCs w:val="24"/>
        </w:rPr>
        <w:t>en</w:t>
      </w:r>
      <w:proofErr w:type="gramEnd"/>
      <w:r w:rsidRPr="004D4AC6">
        <w:rPr>
          <w:rFonts w:ascii="Abel" w:eastAsia="Times New Roman" w:hAnsi="Abel"/>
          <w:sz w:val="24"/>
          <w:szCs w:val="24"/>
        </w:rPr>
        <w:t xml:space="preserve"> revanche, parmi les retenus du département, le groupe organisateur se réserve le droit de ne pas systématiquement suivre l'ordre de préférence du département, s'il ne coïncide pas avec les autres critères de sélection.</w:t>
      </w:r>
    </w:p>
    <w:p w:rsidR="00A810E7" w:rsidRPr="004D4AC6" w:rsidRDefault="00A810E7" w:rsidP="00A810E7">
      <w:pPr>
        <w:numPr>
          <w:ilvl w:val="0"/>
          <w:numId w:val="3"/>
        </w:numPr>
        <w:spacing w:before="100" w:beforeAutospacing="1" w:after="100" w:afterAutospacing="1"/>
        <w:rPr>
          <w:rFonts w:ascii="Abel" w:eastAsia="Times New Roman" w:hAnsi="Abel"/>
        </w:rPr>
      </w:pPr>
      <w:proofErr w:type="gramStart"/>
      <w:r w:rsidRPr="004D4AC6">
        <w:rPr>
          <w:rFonts w:ascii="Abel" w:eastAsia="Times New Roman" w:hAnsi="Abel"/>
          <w:sz w:val="24"/>
          <w:szCs w:val="24"/>
        </w:rPr>
        <w:t>de</w:t>
      </w:r>
      <w:proofErr w:type="gramEnd"/>
      <w:r w:rsidRPr="004D4AC6">
        <w:rPr>
          <w:rFonts w:ascii="Abel" w:eastAsia="Times New Roman" w:hAnsi="Abel"/>
          <w:sz w:val="24"/>
          <w:szCs w:val="24"/>
        </w:rPr>
        <w:t xml:space="preserve"> la meilleure représentativité de l'ensemble des départements dans le groupe final</w:t>
      </w:r>
    </w:p>
    <w:p w:rsidR="00A810E7" w:rsidRPr="004D4AC6" w:rsidRDefault="00A810E7" w:rsidP="00A810E7">
      <w:pPr>
        <w:numPr>
          <w:ilvl w:val="0"/>
          <w:numId w:val="3"/>
        </w:numPr>
        <w:spacing w:before="100" w:beforeAutospacing="1" w:after="100" w:afterAutospacing="1"/>
        <w:rPr>
          <w:rFonts w:ascii="Abel" w:eastAsia="Times New Roman" w:hAnsi="Abel"/>
        </w:rPr>
      </w:pPr>
      <w:proofErr w:type="gramStart"/>
      <w:r w:rsidRPr="004D4AC6">
        <w:rPr>
          <w:rFonts w:ascii="Abel" w:eastAsia="Times New Roman" w:hAnsi="Abel"/>
          <w:sz w:val="24"/>
          <w:szCs w:val="24"/>
        </w:rPr>
        <w:t>des</w:t>
      </w:r>
      <w:proofErr w:type="gramEnd"/>
      <w:r w:rsidRPr="004D4AC6">
        <w:rPr>
          <w:rFonts w:ascii="Abel" w:eastAsia="Times New Roman" w:hAnsi="Abel"/>
          <w:sz w:val="24"/>
          <w:szCs w:val="24"/>
        </w:rPr>
        <w:t xml:space="preserve"> motivations et attentes exprimées par les doctorants et les encadrants dans leur fiche d'inscription</w:t>
      </w:r>
    </w:p>
    <w:p w:rsidR="00A810E7" w:rsidRPr="004D4AC6" w:rsidRDefault="00A810E7" w:rsidP="00A810E7">
      <w:pPr>
        <w:numPr>
          <w:ilvl w:val="0"/>
          <w:numId w:val="3"/>
        </w:numPr>
        <w:spacing w:before="100" w:beforeAutospacing="1" w:after="100" w:afterAutospacing="1"/>
        <w:rPr>
          <w:rFonts w:ascii="Abel" w:eastAsia="Times New Roman" w:hAnsi="Abel"/>
        </w:rPr>
      </w:pPr>
      <w:proofErr w:type="gramStart"/>
      <w:r w:rsidRPr="004D4AC6">
        <w:rPr>
          <w:rFonts w:ascii="Abel" w:eastAsia="Times New Roman" w:hAnsi="Abel"/>
          <w:sz w:val="24"/>
          <w:szCs w:val="24"/>
        </w:rPr>
        <w:t>de</w:t>
      </w:r>
      <w:proofErr w:type="gramEnd"/>
      <w:r w:rsidRPr="004D4AC6">
        <w:rPr>
          <w:rFonts w:ascii="Abel" w:eastAsia="Times New Roman" w:hAnsi="Abel"/>
          <w:sz w:val="24"/>
          <w:szCs w:val="24"/>
        </w:rPr>
        <w:t xml:space="preserve"> la possibilité pour le doctorant de s'inscrire ou non à la session suivante d'EDEN (</w:t>
      </w:r>
      <w:proofErr w:type="spellStart"/>
      <w:r w:rsidRPr="004D4AC6">
        <w:rPr>
          <w:rFonts w:ascii="Abel" w:eastAsia="Times New Roman" w:hAnsi="Abel"/>
          <w:sz w:val="24"/>
          <w:szCs w:val="24"/>
        </w:rPr>
        <w:t>ie</w:t>
      </w:r>
      <w:proofErr w:type="spellEnd"/>
      <w:r w:rsidRPr="004D4AC6">
        <w:rPr>
          <w:rFonts w:ascii="Abel" w:eastAsia="Times New Roman" w:hAnsi="Abel"/>
          <w:sz w:val="24"/>
          <w:szCs w:val="24"/>
        </w:rPr>
        <w:t xml:space="preserve"> s'il sera encore entre 9 et 15 mois de thèse à la session suivante)</w:t>
      </w:r>
    </w:p>
    <w:p w:rsidR="00AD7060" w:rsidRPr="004D4AC6" w:rsidRDefault="00AD7060" w:rsidP="00A810E7">
      <w:pPr>
        <w:numPr>
          <w:ilvl w:val="0"/>
          <w:numId w:val="3"/>
        </w:numPr>
        <w:spacing w:before="100" w:beforeAutospacing="1" w:after="100" w:afterAutospacing="1"/>
        <w:rPr>
          <w:rFonts w:ascii="Abel" w:eastAsia="Times New Roman" w:hAnsi="Abel"/>
        </w:rPr>
      </w:pPr>
      <w:proofErr w:type="gramStart"/>
      <w:r w:rsidRPr="004D4AC6">
        <w:rPr>
          <w:rFonts w:ascii="Abel" w:eastAsia="Times New Roman" w:hAnsi="Abel"/>
          <w:sz w:val="24"/>
          <w:szCs w:val="24"/>
        </w:rPr>
        <w:lastRenderedPageBreak/>
        <w:t>pour</w:t>
      </w:r>
      <w:proofErr w:type="gramEnd"/>
      <w:r w:rsidRPr="004D4AC6">
        <w:rPr>
          <w:rFonts w:ascii="Abel" w:eastAsia="Times New Roman" w:hAnsi="Abel"/>
          <w:sz w:val="24"/>
          <w:szCs w:val="24"/>
        </w:rPr>
        <w:t xml:space="preserve"> les participants étrangers, du niveau de français oral et écrit</w:t>
      </w:r>
    </w:p>
    <w:p w:rsidR="00A810E7" w:rsidRDefault="00A810E7" w:rsidP="00A810E7">
      <w:pPr>
        <w:spacing w:before="100" w:beforeAutospacing="1" w:after="100" w:afterAutospacing="1"/>
        <w:rPr>
          <w:rFonts w:ascii="Abel" w:hAnsi="Abel"/>
          <w:sz w:val="24"/>
          <w:szCs w:val="24"/>
        </w:rPr>
      </w:pPr>
      <w:r w:rsidRPr="004D4AC6">
        <w:rPr>
          <w:rFonts w:ascii="Abel" w:hAnsi="Abel"/>
          <w:sz w:val="24"/>
          <w:szCs w:val="24"/>
        </w:rPr>
        <w:t>Les résultats sont transmis aux départements pour information.</w:t>
      </w:r>
    </w:p>
    <w:p w:rsidR="00030B8C" w:rsidRPr="004D4AC6" w:rsidRDefault="00A810E7" w:rsidP="00887205">
      <w:pPr>
        <w:spacing w:before="100" w:beforeAutospacing="1" w:after="100" w:afterAutospacing="1"/>
        <w:rPr>
          <w:rFonts w:ascii="Abel" w:hAnsi="Abel"/>
        </w:rPr>
      </w:pPr>
      <w:r w:rsidRPr="004D4AC6">
        <w:rPr>
          <w:rFonts w:ascii="Abel" w:hAnsi="Abel"/>
          <w:sz w:val="24"/>
          <w:szCs w:val="24"/>
        </w:rPr>
        <w:t>NB : afin de ne pas désavantager la participation de doctorants ayant plusieurs encadrants, la prise en charge financière par les départements est un forfait par doctorant, quel que soit le nombre d'encadrants présents.</w:t>
      </w:r>
    </w:p>
    <w:sectPr w:rsidR="00030B8C" w:rsidRPr="004D4AC6" w:rsidSect="00702518">
      <w:headerReference w:type="default" r:id="rId8"/>
      <w:pgSz w:w="11906" w:h="16838"/>
      <w:pgMar w:top="283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AC6" w:rsidRDefault="004D4AC6" w:rsidP="004D4AC6">
      <w:r>
        <w:separator/>
      </w:r>
    </w:p>
  </w:endnote>
  <w:endnote w:type="continuationSeparator" w:id="0">
    <w:p w:rsidR="004D4AC6" w:rsidRDefault="004D4AC6" w:rsidP="004D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bel">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AC6" w:rsidRDefault="004D4AC6" w:rsidP="004D4AC6">
      <w:r>
        <w:separator/>
      </w:r>
    </w:p>
  </w:footnote>
  <w:footnote w:type="continuationSeparator" w:id="0">
    <w:p w:rsidR="004D4AC6" w:rsidRDefault="004D4AC6" w:rsidP="004D4AC6">
      <w:r>
        <w:continuationSeparator/>
      </w:r>
    </w:p>
  </w:footnote>
  <w:footnote w:id="1">
    <w:p w:rsidR="0046166F" w:rsidRPr="004D4AC6" w:rsidRDefault="0046166F" w:rsidP="0046166F">
      <w:pPr>
        <w:spacing w:before="100" w:beforeAutospacing="1" w:after="100" w:afterAutospacing="1"/>
        <w:jc w:val="both"/>
        <w:rPr>
          <w:rFonts w:ascii="Abel" w:hAnsi="Abel"/>
        </w:rPr>
      </w:pPr>
      <w:r>
        <w:rPr>
          <w:rStyle w:val="Appelnotedebasdep"/>
        </w:rPr>
        <w:footnoteRef/>
      </w:r>
      <w:r>
        <w:t xml:space="preserve"> </w:t>
      </w:r>
      <w:r>
        <w:rPr>
          <w:rFonts w:ascii="Abel" w:hAnsi="Abel"/>
          <w:sz w:val="24"/>
          <w:szCs w:val="24"/>
        </w:rPr>
        <w:t xml:space="preserve">Pour être éligible à EDEN, un encadrant doit porter tout ou partie de la </w:t>
      </w:r>
      <w:r w:rsidRPr="0046166F">
        <w:rPr>
          <w:rFonts w:ascii="Abel" w:hAnsi="Abel"/>
          <w:b/>
          <w:sz w:val="24"/>
          <w:szCs w:val="24"/>
        </w:rPr>
        <w:t>responsabilité scientifique</w:t>
      </w:r>
      <w:r>
        <w:rPr>
          <w:rFonts w:ascii="Abel" w:hAnsi="Abel"/>
          <w:sz w:val="24"/>
          <w:szCs w:val="24"/>
        </w:rPr>
        <w:t xml:space="preserve"> de la thèse. Avoir en charge l’organisation des aspects technologiques et expérimentaux n’est pas suffisant.</w:t>
      </w:r>
    </w:p>
    <w:p w:rsidR="0046166F" w:rsidRDefault="0046166F">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AC6" w:rsidRDefault="00F161EC" w:rsidP="004D4AC6">
    <w:pPr>
      <w:pStyle w:val="En-tte"/>
      <w:jc w:val="center"/>
    </w:pPr>
    <w:r>
      <w:rPr>
        <w:noProof/>
        <w:lang w:eastAsia="fr-FR"/>
      </w:rPr>
      <w:drawing>
        <wp:inline distT="0" distB="0" distL="0" distR="0">
          <wp:extent cx="3505200" cy="1198436"/>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uleur INRAE.png"/>
                  <pic:cNvPicPr/>
                </pic:nvPicPr>
                <pic:blipFill>
                  <a:blip r:embed="rId1">
                    <a:extLst>
                      <a:ext uri="{28A0092B-C50C-407E-A947-70E740481C1C}">
                        <a14:useLocalDpi xmlns:a14="http://schemas.microsoft.com/office/drawing/2010/main" val="0"/>
                      </a:ext>
                    </a:extLst>
                  </a:blip>
                  <a:stretch>
                    <a:fillRect/>
                  </a:stretch>
                </pic:blipFill>
                <pic:spPr>
                  <a:xfrm>
                    <a:off x="0" y="0"/>
                    <a:ext cx="3549272" cy="12135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A644A"/>
    <w:multiLevelType w:val="hybridMultilevel"/>
    <w:tmpl w:val="4E905A28"/>
    <w:lvl w:ilvl="0" w:tplc="F03008F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93C3EFC"/>
    <w:multiLevelType w:val="multilevel"/>
    <w:tmpl w:val="36385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A62099"/>
    <w:multiLevelType w:val="multilevel"/>
    <w:tmpl w:val="91561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2F2670"/>
    <w:multiLevelType w:val="multilevel"/>
    <w:tmpl w:val="934A0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0E7"/>
    <w:rsid w:val="00030B8C"/>
    <w:rsid w:val="0046166F"/>
    <w:rsid w:val="004D4AC6"/>
    <w:rsid w:val="00702518"/>
    <w:rsid w:val="00887205"/>
    <w:rsid w:val="009E407C"/>
    <w:rsid w:val="00A810E7"/>
    <w:rsid w:val="00AD7060"/>
    <w:rsid w:val="00F161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A398A4"/>
  <w15:chartTrackingRefBased/>
  <w15:docId w15:val="{157FE6E8-ACAE-44D9-8724-C86E19C1C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0E7"/>
    <w:pPr>
      <w:spacing w:after="0" w:line="240" w:lineRule="auto"/>
    </w:pPr>
    <w:rPr>
      <w:rFonts w:ascii="Calibri" w:hAnsi="Calibri" w:cs="Calibri"/>
      <w:color w:val="000000"/>
    </w:rPr>
  </w:style>
  <w:style w:type="paragraph" w:styleId="Titre1">
    <w:name w:val="heading 1"/>
    <w:basedOn w:val="Normal"/>
    <w:next w:val="Titre2"/>
    <w:link w:val="Titre1Car"/>
    <w:uiPriority w:val="9"/>
    <w:qFormat/>
    <w:rsid w:val="009E407C"/>
    <w:pPr>
      <w:keepNext/>
      <w:keepLines/>
      <w:spacing w:before="240" w:after="240"/>
      <w:jc w:val="center"/>
      <w:outlineLvl w:val="0"/>
    </w:pPr>
    <w:rPr>
      <w:rFonts w:eastAsiaTheme="majorEastAsia" w:cstheme="majorBidi"/>
      <w:b/>
      <w:color w:val="00B050"/>
      <w:sz w:val="28"/>
      <w:szCs w:val="32"/>
    </w:rPr>
  </w:style>
  <w:style w:type="paragraph" w:styleId="Titre2">
    <w:name w:val="heading 2"/>
    <w:basedOn w:val="Normal"/>
    <w:next w:val="Titre3"/>
    <w:link w:val="Titre2Car"/>
    <w:uiPriority w:val="9"/>
    <w:unhideWhenUsed/>
    <w:qFormat/>
    <w:rsid w:val="009E407C"/>
    <w:pPr>
      <w:keepNext/>
      <w:keepLines/>
      <w:spacing w:before="40" w:after="240"/>
      <w:ind w:left="-426"/>
      <w:outlineLvl w:val="1"/>
    </w:pPr>
    <w:rPr>
      <w:rFonts w:eastAsiaTheme="majorEastAsia" w:cstheme="majorBidi"/>
      <w:b/>
      <w:color w:val="00B050"/>
      <w:sz w:val="24"/>
      <w:szCs w:val="26"/>
    </w:rPr>
  </w:style>
  <w:style w:type="paragraph" w:styleId="Titre3">
    <w:name w:val="heading 3"/>
    <w:basedOn w:val="Normal"/>
    <w:next w:val="Normal"/>
    <w:link w:val="Titre3Car"/>
    <w:uiPriority w:val="9"/>
    <w:unhideWhenUsed/>
    <w:qFormat/>
    <w:rsid w:val="009E407C"/>
    <w:pPr>
      <w:keepNext/>
      <w:keepLines/>
      <w:spacing w:before="40"/>
      <w:outlineLvl w:val="2"/>
    </w:pPr>
    <w:rPr>
      <w:rFonts w:eastAsiaTheme="majorEastAsia" w:cstheme="majorBidi"/>
      <w:b/>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E407C"/>
    <w:rPr>
      <w:rFonts w:ascii="Times New Roman" w:eastAsiaTheme="majorEastAsia" w:hAnsi="Times New Roman" w:cstheme="majorBidi"/>
      <w:b/>
      <w:color w:val="00B050"/>
      <w:sz w:val="28"/>
      <w:szCs w:val="32"/>
    </w:rPr>
  </w:style>
  <w:style w:type="character" w:customStyle="1" w:styleId="Titre2Car">
    <w:name w:val="Titre 2 Car"/>
    <w:basedOn w:val="Policepardfaut"/>
    <w:link w:val="Titre2"/>
    <w:uiPriority w:val="9"/>
    <w:rsid w:val="009E407C"/>
    <w:rPr>
      <w:rFonts w:ascii="Times New Roman" w:eastAsiaTheme="majorEastAsia" w:hAnsi="Times New Roman" w:cstheme="majorBidi"/>
      <w:b/>
      <w:color w:val="00B050"/>
      <w:sz w:val="24"/>
      <w:szCs w:val="26"/>
    </w:rPr>
  </w:style>
  <w:style w:type="character" w:customStyle="1" w:styleId="Titre3Car">
    <w:name w:val="Titre 3 Car"/>
    <w:basedOn w:val="Policepardfaut"/>
    <w:link w:val="Titre3"/>
    <w:uiPriority w:val="9"/>
    <w:rsid w:val="009E407C"/>
    <w:rPr>
      <w:rFonts w:ascii="Times New Roman" w:eastAsiaTheme="majorEastAsia" w:hAnsi="Times New Roman" w:cstheme="majorBidi"/>
      <w:b/>
      <w:szCs w:val="24"/>
    </w:rPr>
  </w:style>
  <w:style w:type="paragraph" w:styleId="Titre">
    <w:name w:val="Title"/>
    <w:basedOn w:val="Normal"/>
    <w:next w:val="Normal"/>
    <w:link w:val="TitreCar"/>
    <w:uiPriority w:val="10"/>
    <w:qFormat/>
    <w:rsid w:val="009E407C"/>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E407C"/>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9E407C"/>
    <w:pPr>
      <w:ind w:left="720"/>
      <w:contextualSpacing/>
    </w:pPr>
  </w:style>
  <w:style w:type="paragraph" w:styleId="En-tte">
    <w:name w:val="header"/>
    <w:basedOn w:val="Normal"/>
    <w:link w:val="En-tteCar"/>
    <w:uiPriority w:val="99"/>
    <w:unhideWhenUsed/>
    <w:rsid w:val="004D4AC6"/>
    <w:pPr>
      <w:tabs>
        <w:tab w:val="center" w:pos="4536"/>
        <w:tab w:val="right" w:pos="9072"/>
      </w:tabs>
    </w:pPr>
  </w:style>
  <w:style w:type="character" w:customStyle="1" w:styleId="En-tteCar">
    <w:name w:val="En-tête Car"/>
    <w:basedOn w:val="Policepardfaut"/>
    <w:link w:val="En-tte"/>
    <w:uiPriority w:val="99"/>
    <w:rsid w:val="004D4AC6"/>
    <w:rPr>
      <w:rFonts w:ascii="Calibri" w:hAnsi="Calibri" w:cs="Calibri"/>
      <w:color w:val="000000"/>
    </w:rPr>
  </w:style>
  <w:style w:type="paragraph" w:styleId="Pieddepage">
    <w:name w:val="footer"/>
    <w:basedOn w:val="Normal"/>
    <w:link w:val="PieddepageCar"/>
    <w:uiPriority w:val="99"/>
    <w:unhideWhenUsed/>
    <w:rsid w:val="004D4AC6"/>
    <w:pPr>
      <w:tabs>
        <w:tab w:val="center" w:pos="4536"/>
        <w:tab w:val="right" w:pos="9072"/>
      </w:tabs>
    </w:pPr>
  </w:style>
  <w:style w:type="character" w:customStyle="1" w:styleId="PieddepageCar">
    <w:name w:val="Pied de page Car"/>
    <w:basedOn w:val="Policepardfaut"/>
    <w:link w:val="Pieddepage"/>
    <w:uiPriority w:val="99"/>
    <w:rsid w:val="004D4AC6"/>
    <w:rPr>
      <w:rFonts w:ascii="Calibri" w:hAnsi="Calibri" w:cs="Calibri"/>
      <w:color w:val="000000"/>
    </w:rPr>
  </w:style>
  <w:style w:type="paragraph" w:styleId="Notedebasdepage">
    <w:name w:val="footnote text"/>
    <w:basedOn w:val="Normal"/>
    <w:link w:val="NotedebasdepageCar"/>
    <w:uiPriority w:val="99"/>
    <w:semiHidden/>
    <w:unhideWhenUsed/>
    <w:rsid w:val="0046166F"/>
    <w:rPr>
      <w:sz w:val="20"/>
      <w:szCs w:val="20"/>
    </w:rPr>
  </w:style>
  <w:style w:type="character" w:customStyle="1" w:styleId="NotedebasdepageCar">
    <w:name w:val="Note de bas de page Car"/>
    <w:basedOn w:val="Policepardfaut"/>
    <w:link w:val="Notedebasdepage"/>
    <w:uiPriority w:val="99"/>
    <w:semiHidden/>
    <w:rsid w:val="0046166F"/>
    <w:rPr>
      <w:rFonts w:ascii="Calibri" w:hAnsi="Calibri" w:cs="Calibri"/>
      <w:color w:val="000000"/>
      <w:sz w:val="20"/>
      <w:szCs w:val="20"/>
    </w:rPr>
  </w:style>
  <w:style w:type="character" w:styleId="Appelnotedebasdep">
    <w:name w:val="footnote reference"/>
    <w:basedOn w:val="Policepardfaut"/>
    <w:uiPriority w:val="99"/>
    <w:semiHidden/>
    <w:unhideWhenUsed/>
    <w:rsid w:val="004616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322793">
      <w:bodyDiv w:val="1"/>
      <w:marLeft w:val="0"/>
      <w:marRight w:val="0"/>
      <w:marTop w:val="0"/>
      <w:marBottom w:val="0"/>
      <w:divBdr>
        <w:top w:val="none" w:sz="0" w:space="0" w:color="auto"/>
        <w:left w:val="none" w:sz="0" w:space="0" w:color="auto"/>
        <w:bottom w:val="none" w:sz="0" w:space="0" w:color="auto"/>
        <w:right w:val="none" w:sz="0" w:space="0" w:color="auto"/>
      </w:divBdr>
    </w:div>
    <w:div w:id="191253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D7AAE-F81D-49D7-AEF0-0F74FED9A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2184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INRA</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Genevieve Aubin-Houzelstein</dc:creator>
  <cp:keywords/>
  <dc:description/>
  <cp:lastModifiedBy>Genevieve Aubin-Houzelstein</cp:lastModifiedBy>
  <cp:revision>2</cp:revision>
  <dcterms:created xsi:type="dcterms:W3CDTF">2021-10-13T06:56:00Z</dcterms:created>
  <dcterms:modified xsi:type="dcterms:W3CDTF">2021-10-13T06:56:00Z</dcterms:modified>
</cp:coreProperties>
</file>